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53B48" w14:textId="7FD45366" w:rsidR="00D5612B" w:rsidRDefault="00D5612B" w:rsidP="00B108A4">
      <w:pPr>
        <w:jc w:val="center"/>
        <w:rPr>
          <w:rFonts w:eastAsia="Times New Roman"/>
          <w:b/>
          <w:bCs/>
          <w:color w:val="FF0000"/>
          <w:kern w:val="0"/>
          <w:sz w:val="40"/>
          <w:szCs w:val="40"/>
          <w:u w:val="single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bookmarkStart w:id="0" w:name="_GoBack"/>
      <w:bookmarkEnd w:id="0"/>
      <w:r w:rsidRPr="00B108A4">
        <w:rPr>
          <w:rFonts w:eastAsia="Times New Roman"/>
          <w:b/>
          <w:bCs/>
          <w:color w:val="FF0000"/>
          <w:kern w:val="0"/>
          <w:sz w:val="40"/>
          <w:szCs w:val="40"/>
          <w:u w:val="single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¿Por qué Previfuturo?</w:t>
      </w:r>
    </w:p>
    <w:p w14:paraId="0F906103" w14:textId="77777777" w:rsidR="00057F24" w:rsidRPr="00B108A4" w:rsidRDefault="00057F24" w:rsidP="00B108A4">
      <w:pPr>
        <w:jc w:val="center"/>
        <w:rPr>
          <w:rFonts w:eastAsia="Times New Roman"/>
          <w:b/>
          <w:bCs/>
          <w:color w:val="FF0000"/>
          <w:kern w:val="0"/>
          <w:sz w:val="40"/>
          <w:szCs w:val="40"/>
          <w:u w:val="single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8DFE537" w14:textId="548D5111" w:rsidR="00D5612B" w:rsidRPr="00B31C4D" w:rsidRDefault="00D5612B" w:rsidP="00B108A4">
      <w:pPr>
        <w:jc w:val="both"/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La rentabilidad media anualizada del Plan de Pensiones Previfuturo, desde su inicio el 19.09.1990 hasta el 31.05.2026, ha sido del 7,03 % TAE. En ese mismo periodo, la tasa media anual del IPC considerada ha sido del 2,81 %, lo que supone un diferencial histórico aproximado de 4,2 puntos porcentuales anuales. Las rentabilidades pasadas no garantizan rentabilidades futuras.</w:t>
      </w:r>
    </w:p>
    <w:p w14:paraId="00694155" w14:textId="53CA569F" w:rsidR="00D5612B" w:rsidRPr="00E6458E" w:rsidRDefault="00D5612B" w:rsidP="00B108A4">
      <w:pPr>
        <w:jc w:val="both"/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PREVIFUTURO es uno de los mayores planes de pensiones del sistema asociado de España. Cuenta con unas comisiones de gestión y depósito del 0,24 %.</w:t>
      </w:r>
    </w:p>
    <w:p w14:paraId="60FBFEE4" w14:textId="24C2BD2E" w:rsidR="00D5612B" w:rsidRPr="00E6458E" w:rsidRDefault="00D5612B" w:rsidP="00B108A4">
      <w:pPr>
        <w:jc w:val="both"/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6458E"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Igualmente, PREVIFUTURO ofrece a sus partícipes, con carácter voluntario, condiciones muy ventajosas y en cualquier momento, una PRESTACION COMPLEMENTARIA PARA FALLECIMIENTO E INVALIDEZ, con cuatro niveles que van desde 24.040,48 euros hasta 150.253,02 euros</w:t>
      </w:r>
      <w:r w:rsidR="00057F24"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</w:p>
    <w:p w14:paraId="3E6E66B1" w14:textId="1DC73F4E" w:rsidR="00D5612B" w:rsidRPr="00E6458E" w:rsidRDefault="00D5612B" w:rsidP="00B108A4">
      <w:pPr>
        <w:jc w:val="both"/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E6458E"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En el momento de tener derecho a cualquiera de las PRESTACIONES, PREVIFUTURO cuenta con un amplio abanico de posibilidades de percibirlas</w:t>
      </w:r>
      <w:r w:rsidR="00057F24"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</w:t>
      </w:r>
    </w:p>
    <w:p w14:paraId="2C6671D0" w14:textId="77777777" w:rsidR="00D5612B" w:rsidRPr="00E6458E" w:rsidRDefault="00D5612B" w:rsidP="00B108A4">
      <w:pPr>
        <w:jc w:val="both"/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eastAsia="Times New Roman"/>
          <w:kern w:val="0"/>
          <w:sz w:val="24"/>
          <w:szCs w:val="24"/>
          <w:lang w:eastAsia="es-ES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La inversión del patrimonio del Plan es realizada por la Entidad Gestora, Santander Pensiones, S.A., E.G.F.P., de acuerdo con las líneas maestras y directrices establecidas por la Comisión de Control, atendiendo en cada momento a la situación y evolución de los mercados financieros. Asimismo, la Comisión de Control cuenta con el asesoramiento independiente de Aon, que realiza labores de seguimiento y análisis, estudia la evolución de los mercados y contrasta su visión y criterios con los de la Entidad Gestora. Este análisis aporta a la Comisión de Control dos perspectivas especializadas sobre los mercados, la de la Entidad Gestora y la de Aon, y facilita una valoración más completa para orientar las decisiones y líneas de inversión del Plan.</w:t>
      </w:r>
    </w:p>
    <w:p w14:paraId="1013EDFA" w14:textId="77777777" w:rsidR="00F6052D" w:rsidRDefault="00F6052D" w:rsidP="00B108A4">
      <w:pPr>
        <w:jc w:val="both"/>
      </w:pPr>
    </w:p>
    <w:sectPr w:rsidR="00F605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B"/>
    <w:rsid w:val="00057F24"/>
    <w:rsid w:val="004219DD"/>
    <w:rsid w:val="004C37AF"/>
    <w:rsid w:val="00761FB0"/>
    <w:rsid w:val="008B5615"/>
    <w:rsid w:val="00B108A4"/>
    <w:rsid w:val="00B23758"/>
    <w:rsid w:val="00B31C4D"/>
    <w:rsid w:val="00D5612B"/>
    <w:rsid w:val="00E62F4C"/>
    <w:rsid w:val="00F6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8D2EB"/>
  <w15:chartTrackingRefBased/>
  <w15:docId w15:val="{4334AC97-AFD5-4459-9D70-8D6E19E1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612B"/>
  </w:style>
  <w:style w:type="paragraph" w:styleId="Ttulo1">
    <w:name w:val="heading 1"/>
    <w:basedOn w:val="Normal"/>
    <w:next w:val="Normal"/>
    <w:link w:val="Ttulo1Car"/>
    <w:uiPriority w:val="9"/>
    <w:qFormat/>
    <w:rsid w:val="00D56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6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6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6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6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6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6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6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61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6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61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1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61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61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61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61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61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6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6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6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6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6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61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61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61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6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61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612B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56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 qué Previfuturo</dc:title>
  <dc:subject>Versión revisada para publicación web</dc:subject>
  <dc:creator>Ricardo Pulido</dc:creator>
  <cp:keywords/>
  <dc:description/>
  <cp:lastModifiedBy>Asus</cp:lastModifiedBy>
  <cp:revision>7</cp:revision>
  <dcterms:created xsi:type="dcterms:W3CDTF">2026-10-02T08:05:00Z</dcterms:created>
  <dcterms:modified xsi:type="dcterms:W3CDTF">2026-10-02T19:25:00Z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2026-10-02T08:05:35Z</vt:lpwstr>
  </property>
  <property fmtid="{D5CDD505-2E9C-101B-9397-08002B2CF9AE}" pid="4" name="MSIP_Label_9043f10a-881e-4653-a55e-02ca2cc829dc_Method">
    <vt:lpwstr>Privileged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c575b5d6-0022-4dd6-9cc1-353846ddde88</vt:lpwstr>
  </property>
  <property fmtid="{D5CDD505-2E9C-101B-9397-08002B2CF9AE}" pid="8" name="MSIP_Label_9043f10a-881e-4653-a55e-02ca2cc829dc_ContentBits">
    <vt:lpwstr>0</vt:lpwstr>
  </property>
</Properties>
</file>