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2A696" w14:textId="003BD4CC" w:rsidR="00F6052D" w:rsidRDefault="00074574" w:rsidP="005D3CF3">
      <w:pPr>
        <w:rPr>
          <w:b/>
          <w:bCs/>
          <w:color w:val="FF0000"/>
          <w:sz w:val="40"/>
          <w:szCs w:val="40"/>
          <w:u w:val="single"/>
          <w14:textOutline w14:w="0" w14:cap="flat" w14:cmpd="sng" w14:algn="ctr">
            <w14:noFill/>
            <w14:prstDash w14:val="solid"/>
            <w14:round/>
          </w14:textOutline>
        </w:rPr>
      </w:pPr>
      <w:r w:rsidRPr="005D3CF3">
        <w:rPr>
          <w:b/>
          <w:bCs/>
          <w:color w:val="FF0000"/>
          <w:sz w:val="40"/>
          <w:szCs w:val="40"/>
          <w:u w:val="single"/>
          <w14:textOutline w14:w="0" w14:cap="flat" w14:cmpd="sng" w14:algn="ctr">
            <w14:noFill/>
            <w14:prstDash w14:val="solid"/>
            <w14:round/>
          </w14:textOutline>
        </w:rPr>
        <w:t>¿Qué es Previfuturo, Fondo de Pensiones ?</w:t>
      </w:r>
    </w:p>
    <w:p w14:paraId="2707C373" w14:textId="77777777" w:rsidR="008E3A38" w:rsidRPr="005D3CF3" w:rsidRDefault="008E3A38" w:rsidP="005D3CF3">
      <w:pPr>
        <w:rPr>
          <w:b/>
          <w:bCs/>
          <w:color w:val="FF0000"/>
          <w:sz w:val="40"/>
          <w:szCs w:val="40"/>
          <w:u w:val="single"/>
          <w14:textOutline w14:w="0" w14:cap="flat" w14:cmpd="sng" w14:algn="ctr">
            <w14:noFill/>
            <w14:prstDash w14:val="solid"/>
            <w14:round/>
          </w14:textOutline>
        </w:rPr>
      </w:pPr>
    </w:p>
    <w:p w14:paraId="352AEF7C" w14:textId="6FE1E259" w:rsidR="00074574" w:rsidRDefault="00074574" w:rsidP="008E3A38">
      <w:pPr>
        <w:jc w:val="both"/>
        <w:rPr>
          <w:sz w:val="24"/>
          <w:szCs w:val="24"/>
          <w14:textOutline w14:w="0" w14:cap="flat" w14:cmpd="sng" w14:algn="ctr">
            <w14:noFill/>
            <w14:prstDash w14:val="solid"/>
            <w14:round/>
          </w14:textOutline>
        </w:rPr>
      </w:pPr>
      <w:r w:rsidRPr="00E6458E">
        <w:rPr>
          <w:sz w:val="24"/>
          <w:szCs w:val="24"/>
          <w14:textOutline w14:w="0" w14:cap="flat" w14:cmpd="sng" w14:algn="ctr">
            <w14:noFill/>
            <w14:prstDash w14:val="solid"/>
            <w14:round/>
          </w14:textOutline>
        </w:rPr>
        <w:t>Con la denominación PREVIFUTURO, FONDO DE PENSIONES, se constituye este Fondo con un patrimonio creado al exclusivo objeto de dar cumplimiento al Plan de Pensiones Previfuturo que en él se integra.</w:t>
      </w:r>
    </w:p>
    <w:p w14:paraId="47B56CCA" w14:textId="77777777" w:rsidR="008E3A38" w:rsidRPr="00E6458E" w:rsidRDefault="008E3A38" w:rsidP="008E3A38">
      <w:pPr>
        <w:jc w:val="both"/>
        <w:rPr>
          <w:sz w:val="24"/>
          <w:szCs w:val="24"/>
          <w14:textOutline w14:w="0" w14:cap="flat" w14:cmpd="sng" w14:algn="ctr">
            <w14:noFill/>
            <w14:prstDash w14:val="solid"/>
            <w14:round/>
          </w14:textOutline>
        </w:rPr>
      </w:pPr>
    </w:p>
    <w:p w14:paraId="2302657C" w14:textId="125F47DD" w:rsidR="00074574" w:rsidRDefault="00074574" w:rsidP="005D3CF3">
      <w:pPr>
        <w:rPr>
          <w:b/>
          <w:bCs/>
          <w:color w:val="FF0000"/>
          <w:sz w:val="40"/>
          <w:szCs w:val="40"/>
          <w:u w:val="single"/>
          <w14:textOutline w14:w="0" w14:cap="flat" w14:cmpd="sng" w14:algn="ctr">
            <w14:noFill/>
            <w14:prstDash w14:val="solid"/>
            <w14:round/>
          </w14:textOutline>
        </w:rPr>
      </w:pPr>
      <w:r w:rsidRPr="005D3CF3">
        <w:rPr>
          <w:b/>
          <w:bCs/>
          <w:color w:val="FF0000"/>
          <w:sz w:val="40"/>
          <w:szCs w:val="40"/>
          <w:u w:val="single"/>
          <w14:textOutline w14:w="0" w14:cap="flat" w14:cmpd="sng" w14:algn="ctr">
            <w14:noFill/>
            <w14:prstDash w14:val="solid"/>
            <w14:round/>
          </w14:textOutline>
        </w:rPr>
        <w:t>¿Qué es el Plan de Pensiones, Previfuturo ?</w:t>
      </w:r>
    </w:p>
    <w:p w14:paraId="30D83EC7" w14:textId="77777777" w:rsidR="008E3A38" w:rsidRPr="005D3CF3" w:rsidRDefault="008E3A38" w:rsidP="005D3CF3">
      <w:pPr>
        <w:rPr>
          <w:b/>
          <w:bCs/>
          <w:color w:val="FF0000"/>
          <w:sz w:val="40"/>
          <w:szCs w:val="40"/>
          <w:u w:val="single"/>
          <w14:textOutline w14:w="0" w14:cap="flat" w14:cmpd="sng" w14:algn="ctr">
            <w14:noFill/>
            <w14:prstDash w14:val="solid"/>
            <w14:round/>
          </w14:textOutline>
        </w:rPr>
      </w:pPr>
    </w:p>
    <w:p w14:paraId="415498B5" w14:textId="0874D62A" w:rsidR="00074574" w:rsidRPr="00E6458E" w:rsidRDefault="00074574" w:rsidP="00E6458E">
      <w:pPr>
        <w:rPr>
          <w:sz w:val="24"/>
          <w:szCs w:val="24"/>
          <w14:textOutline w14:w="0" w14:cap="flat" w14:cmpd="sng" w14:algn="ctr">
            <w14:noFill/>
            <w14:prstDash w14:val="solid"/>
            <w14:round/>
          </w14:textOutline>
        </w:rPr>
      </w:pPr>
      <w:r w:rsidRPr="00E6458E">
        <w:rPr>
          <w:sz w:val="24"/>
          <w:szCs w:val="24"/>
          <w14:textOutline w14:w="0" w14:cap="flat" w14:cmpd="sng" w14:algn="ctr">
            <w14:noFill/>
            <w14:prstDash w14:val="solid"/>
            <w14:round/>
          </w14:textOutline>
        </w:rPr>
        <w:t xml:space="preserve">Es un Plan de Pensiones, inicialmente promovido por la MUTUALIDAD DE EMPLEADOS DEL BANCO SANTANDER, al amparo de la Ley 8/1987, de 8 de </w:t>
      </w:r>
      <w:r w:rsidR="005706E6" w:rsidRPr="00E6458E">
        <w:rPr>
          <w:sz w:val="24"/>
          <w:szCs w:val="24"/>
          <w14:textOutline w14:w="0" w14:cap="flat" w14:cmpd="sng" w14:algn="ctr">
            <w14:noFill/>
            <w14:prstDash w14:val="solid"/>
            <w14:round/>
          </w14:textOutline>
        </w:rPr>
        <w:t>junio</w:t>
      </w:r>
      <w:r w:rsidRPr="00E6458E">
        <w:rPr>
          <w:sz w:val="24"/>
          <w:szCs w:val="24"/>
          <w14:textOutline w14:w="0" w14:cap="flat" w14:cmpd="sng" w14:algn="ctr">
            <w14:noFill/>
            <w14:prstDash w14:val="solid"/>
            <w14:round/>
          </w14:textOutline>
        </w:rPr>
        <w:t xml:space="preserve"> y en el que pueden adherirse, con carácter totalmente VOLUNTARIO, todos los profesionales del GRUPO SANTANDER. Actualmente el promotor “heredero” de la MUTUALIDAD es la ASOCIACION PARA LA PREVISION SOCIAL COMPLEMENTARIA DE EMPLEADOS DEL GRUPO SANTANDER</w:t>
      </w:r>
      <w:r w:rsidR="00AD135C">
        <w:rPr>
          <w:sz w:val="24"/>
          <w:szCs w:val="24"/>
          <w14:textOutline w14:w="0" w14:cap="flat" w14:cmpd="sng" w14:algn="ctr">
            <w14:noFill/>
            <w14:prstDash w14:val="solid"/>
            <w14:round/>
          </w14:textOutline>
        </w:rPr>
        <w:t xml:space="preserve"> (en adelante la “Asociación”)</w:t>
      </w:r>
      <w:r w:rsidRPr="00E6458E">
        <w:rPr>
          <w:sz w:val="24"/>
          <w:szCs w:val="24"/>
          <w14:textOutline w14:w="0" w14:cap="flat" w14:cmpd="sng" w14:algn="ctr">
            <w14:noFill/>
            <w14:prstDash w14:val="solid"/>
            <w14:round/>
          </w14:textOutline>
        </w:rPr>
        <w:t>, con CIF G01994482, domiciliada en Santander (Cantabria), Calle Guevara, 5, bajo. Constituida mediante acta fundacional suscrita en Santander el día 27 de noviembre de 2019, y consta inscrita en el Registro Nacional de Asociaciones, Sección 1ª, con el numero nacional 620116 desde el día 11 de septiembre de 2020</w:t>
      </w:r>
      <w:r w:rsidR="00AD135C">
        <w:rPr>
          <w:sz w:val="24"/>
          <w:szCs w:val="24"/>
          <w14:textOutline w14:w="0" w14:cap="flat" w14:cmpd="sng" w14:algn="ctr">
            <w14:noFill/>
            <w14:prstDash w14:val="solid"/>
            <w14:round/>
          </w14:textOutline>
        </w:rPr>
        <w:t>.</w:t>
      </w:r>
      <w:r w:rsidRPr="00E6458E">
        <w:rPr>
          <w:sz w:val="24"/>
          <w:szCs w:val="24"/>
          <w14:textOutline w14:w="0" w14:cap="flat" w14:cmpd="sng" w14:algn="ctr">
            <w14:noFill/>
            <w14:prstDash w14:val="solid"/>
            <w14:round/>
          </w14:textOutline>
        </w:rPr>
        <w:br/>
      </w:r>
      <w:r w:rsidRPr="00E6458E">
        <w:rPr>
          <w:sz w:val="24"/>
          <w:szCs w:val="24"/>
          <w14:textOutline w14:w="0" w14:cap="flat" w14:cmpd="sng" w14:algn="ctr">
            <w14:noFill/>
            <w14:prstDash w14:val="solid"/>
            <w14:round/>
          </w14:textOutline>
        </w:rPr>
        <w:br/>
        <w:t>En</w:t>
      </w:r>
      <w:r w:rsidR="00AD135C">
        <w:rPr>
          <w:sz w:val="24"/>
          <w:szCs w:val="24"/>
          <w14:textOutline w14:w="0" w14:cap="flat" w14:cmpd="sng" w14:algn="ctr">
            <w14:noFill/>
            <w14:prstDash w14:val="solid"/>
            <w14:round/>
          </w14:textOutline>
        </w:rPr>
        <w:t xml:space="preserve"> resumen en</w:t>
      </w:r>
      <w:r w:rsidRPr="00E6458E">
        <w:rPr>
          <w:sz w:val="24"/>
          <w:szCs w:val="24"/>
          <w14:textOutline w14:w="0" w14:cap="flat" w14:cmpd="sng" w14:algn="ctr">
            <w14:noFill/>
            <w14:prstDash w14:val="solid"/>
            <w14:round/>
          </w14:textOutline>
        </w:rPr>
        <w:t xml:space="preserve"> PREVIFUTURO, figuran como:</w:t>
      </w:r>
    </w:p>
    <w:p w14:paraId="6A73C922" w14:textId="77777777" w:rsidR="00AD135C" w:rsidRDefault="00074574" w:rsidP="00E6458E">
      <w:pPr>
        <w:rPr>
          <w:sz w:val="24"/>
          <w:szCs w:val="24"/>
          <w14:textOutline w14:w="0" w14:cap="flat" w14:cmpd="sng" w14:algn="ctr">
            <w14:noFill/>
            <w14:prstDash w14:val="solid"/>
            <w14:round/>
          </w14:textOutline>
        </w:rPr>
      </w:pPr>
      <w:r w:rsidRPr="00E6458E">
        <w:rPr>
          <w:sz w:val="24"/>
          <w:szCs w:val="24"/>
          <w14:textOutline w14:w="0" w14:cap="flat" w14:cmpd="sng" w14:algn="ctr">
            <w14:noFill/>
            <w14:prstDash w14:val="solid"/>
            <w14:round/>
          </w14:textOutline>
        </w:rPr>
        <w:t>PROMOTOR - </w:t>
      </w:r>
      <w:r w:rsidR="00AD135C" w:rsidRPr="00AD135C">
        <w:rPr>
          <w:sz w:val="24"/>
          <w:szCs w:val="24"/>
          <w14:textOutline w14:w="0" w14:cap="flat" w14:cmpd="sng" w14:algn="ctr">
            <w14:noFill/>
            <w14:prstDash w14:val="solid"/>
            <w14:round/>
          </w14:textOutline>
        </w:rPr>
        <w:t xml:space="preserve">ASOCIACION PARA LA PREVISION SOCIAL COMPLEMENTARIA DE EMPLEADOS DEL GRUPO SANTANDER </w:t>
      </w:r>
    </w:p>
    <w:p w14:paraId="3B1E5E67" w14:textId="66D233DC" w:rsidR="005235E7" w:rsidRDefault="005235E7" w:rsidP="00E6458E">
      <w:pPr>
        <w:rPr>
          <w:sz w:val="24"/>
          <w:szCs w:val="24"/>
          <w14:textOutline w14:w="0" w14:cap="flat" w14:cmpd="sng" w14:algn="ctr">
            <w14:noFill/>
            <w14:prstDash w14:val="solid"/>
            <w14:round/>
          </w14:textOutline>
        </w:rPr>
      </w:pPr>
      <w:r>
        <w:rPr>
          <w:sz w:val="24"/>
          <w:szCs w:val="24"/>
          <w14:textOutline w14:w="0" w14:cap="flat" w14:cmpd="sng" w14:algn="ctr">
            <w14:noFill/>
            <w14:prstDash w14:val="solid"/>
            <w14:round/>
          </w14:textOutline>
        </w:rPr>
        <w:t>FONDO: PREVIFUTURO, FONDO DE PENSIONES</w:t>
      </w:r>
    </w:p>
    <w:p w14:paraId="100B9CD7" w14:textId="0EFC6A51" w:rsidR="00074574" w:rsidRPr="00E6458E" w:rsidRDefault="00074574" w:rsidP="00E6458E">
      <w:pPr>
        <w:rPr>
          <w:sz w:val="24"/>
          <w:szCs w:val="24"/>
          <w14:textOutline w14:w="0" w14:cap="flat" w14:cmpd="sng" w14:algn="ctr">
            <w14:noFill/>
            <w14:prstDash w14:val="solid"/>
            <w14:round/>
          </w14:textOutline>
        </w:rPr>
      </w:pPr>
      <w:r w:rsidRPr="005235E7">
        <w:rPr>
          <w:sz w:val="24"/>
          <w:szCs w:val="24"/>
          <w14:textOutline w14:w="0" w14:cap="flat" w14:cmpd="sng" w14:algn="ctr">
            <w14:noFill/>
            <w14:prstDash w14:val="solid"/>
            <w14:round/>
          </w14:textOutline>
        </w:rPr>
        <w:t>GESTORA </w:t>
      </w:r>
      <w:r w:rsidR="005235E7" w:rsidRPr="005235E7">
        <w:rPr>
          <w:sz w:val="24"/>
          <w:szCs w:val="24"/>
          <w14:textOutline w14:w="0" w14:cap="flat" w14:cmpd="sng" w14:algn="ctr">
            <w14:noFill/>
            <w14:prstDash w14:val="solid"/>
            <w14:round/>
          </w14:textOutline>
        </w:rPr>
        <w:t>–</w:t>
      </w:r>
      <w:r w:rsidRPr="005235E7">
        <w:rPr>
          <w:sz w:val="24"/>
          <w:szCs w:val="24"/>
          <w14:textOutline w14:w="0" w14:cap="flat" w14:cmpd="sng" w14:algn="ctr">
            <w14:noFill/>
            <w14:prstDash w14:val="solid"/>
            <w14:round/>
          </w14:textOutline>
        </w:rPr>
        <w:t xml:space="preserve"> </w:t>
      </w:r>
      <w:r w:rsidR="005235E7" w:rsidRPr="005235E7">
        <w:rPr>
          <w:sz w:val="24"/>
          <w:szCs w:val="24"/>
          <w14:textOutline w14:w="0" w14:cap="flat" w14:cmpd="sng" w14:algn="ctr">
            <w14:noFill/>
            <w14:prstDash w14:val="solid"/>
            <w14:round/>
          </w14:textOutline>
        </w:rPr>
        <w:t>SANTANDER PENSIONES S.A.,</w:t>
      </w:r>
      <w:r w:rsidRPr="005235E7">
        <w:rPr>
          <w:sz w:val="24"/>
          <w:szCs w:val="24"/>
          <w14:textOutline w14:w="0" w14:cap="flat" w14:cmpd="sng" w14:algn="ctr">
            <w14:noFill/>
            <w14:prstDash w14:val="solid"/>
            <w14:round/>
          </w14:textOutline>
        </w:rPr>
        <w:t xml:space="preserve"> E.G.F.P.</w:t>
      </w:r>
    </w:p>
    <w:p w14:paraId="288CA991" w14:textId="72ED3607" w:rsidR="00074574" w:rsidRDefault="00074574" w:rsidP="00E6458E">
      <w:pPr>
        <w:rPr>
          <w:sz w:val="24"/>
          <w:szCs w:val="24"/>
          <w14:textOutline w14:w="0" w14:cap="flat" w14:cmpd="sng" w14:algn="ctr">
            <w14:noFill/>
            <w14:prstDash w14:val="solid"/>
            <w14:round/>
          </w14:textOutline>
        </w:rPr>
      </w:pPr>
      <w:r w:rsidRPr="00E6458E">
        <w:rPr>
          <w:sz w:val="24"/>
          <w:szCs w:val="24"/>
          <w14:textOutline w14:w="0" w14:cap="flat" w14:cmpd="sng" w14:algn="ctr">
            <w14:noFill/>
            <w14:prstDash w14:val="solid"/>
            <w14:round/>
          </w14:textOutline>
        </w:rPr>
        <w:t xml:space="preserve">DEPOSITARIO – </w:t>
      </w:r>
      <w:r w:rsidR="005235E7">
        <w:rPr>
          <w:sz w:val="24"/>
          <w:szCs w:val="24"/>
          <w14:textOutline w14:w="0" w14:cap="flat" w14:cmpd="sng" w14:algn="ctr">
            <w14:noFill/>
            <w14:prstDash w14:val="solid"/>
            <w14:round/>
          </w14:textOutline>
        </w:rPr>
        <w:t>CACEIS BANK SPAIN, S.A.U.</w:t>
      </w:r>
    </w:p>
    <w:p w14:paraId="113E8D4D" w14:textId="77777777" w:rsidR="008E3A38" w:rsidRPr="00E6458E" w:rsidRDefault="008E3A38" w:rsidP="00E6458E">
      <w:pPr>
        <w:rPr>
          <w:sz w:val="24"/>
          <w:szCs w:val="24"/>
          <w14:textOutline w14:w="0" w14:cap="flat" w14:cmpd="sng" w14:algn="ctr">
            <w14:noFill/>
            <w14:prstDash w14:val="solid"/>
            <w14:round/>
          </w14:textOutline>
        </w:rPr>
      </w:pPr>
    </w:p>
    <w:p w14:paraId="3D4E4511" w14:textId="6C54B423" w:rsidR="00074574" w:rsidRDefault="00074574"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r w:rsidRPr="005D3CF3">
        <w:rPr>
          <w:rFonts w:eastAsia="Times New Roman"/>
          <w:b/>
          <w:bCs/>
          <w:color w:val="FF0000"/>
          <w:kern w:val="0"/>
          <w:sz w:val="40"/>
          <w:szCs w:val="40"/>
          <w:u w:val="single"/>
          <w:lang w:eastAsia="es-ES"/>
          <w14:textOutline w14:w="0" w14:cap="flat" w14:cmpd="sng" w14:algn="ctr">
            <w14:noFill/>
            <w14:prstDash w14:val="solid"/>
            <w14:round/>
          </w14:textOutline>
          <w14:ligatures w14:val="none"/>
        </w:rPr>
        <w:t>¿</w:t>
      </w:r>
      <w:bookmarkStart w:id="0" w:name="_GoBack"/>
      <w:bookmarkEnd w:id="0"/>
      <w:r w:rsidRPr="005D3CF3">
        <w:rPr>
          <w:rFonts w:eastAsia="Times New Roman"/>
          <w:b/>
          <w:bCs/>
          <w:color w:val="FF0000"/>
          <w:kern w:val="0"/>
          <w:sz w:val="40"/>
          <w:szCs w:val="40"/>
          <w:u w:val="single"/>
          <w:lang w:eastAsia="es-ES"/>
          <w14:textOutline w14:w="0" w14:cap="flat" w14:cmpd="sng" w14:algn="ctr">
            <w14:noFill/>
            <w14:prstDash w14:val="solid"/>
            <w14:round/>
          </w14:textOutline>
          <w14:ligatures w14:val="none"/>
        </w:rPr>
        <w:t>Cuál es la Modalidad de Previfuturo ?</w:t>
      </w:r>
    </w:p>
    <w:p w14:paraId="7985D08C" w14:textId="77777777" w:rsidR="008E3A38" w:rsidRPr="005D3CF3" w:rsidRDefault="008E3A38"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p>
    <w:p w14:paraId="7EBC6EEB" w14:textId="77777777" w:rsidR="00074574" w:rsidRPr="00E6458E" w:rsidRDefault="00074574"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El Plan de Pensiones, en razón de sus sujetos constituyentes, se encuadra en la modalidad de Plan del Sistema Asociado y, en razón de las obligaciones estipuladas, se ajusta a la modalidad de Plan Mix</w:t>
      </w:r>
      <w:r w:rsidRPr="00857DED">
        <w:rPr>
          <w:rFonts w:eastAsia="Times New Roman"/>
          <w:kern w:val="0"/>
          <w:sz w:val="24"/>
          <w:szCs w:val="24"/>
          <w:lang w:eastAsia="es-ES"/>
          <w14:textOutline w14:w="0" w14:cap="flat" w14:cmpd="sng" w14:algn="ctr">
            <w14:noFill/>
            <w14:prstDash w14:val="solid"/>
            <w14:round/>
          </w14:textOutline>
          <w14:ligatures w14:val="none"/>
        </w:rPr>
        <w:t>to, cuyas prestaciones garantizadas se encuentran aseguradas vía póliza de seguros.</w:t>
      </w:r>
    </w:p>
    <w:p w14:paraId="38452E1D" w14:textId="1D9E7D6D" w:rsidR="00074574" w:rsidRDefault="00074574"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r w:rsidRPr="005D3CF3">
        <w:rPr>
          <w:rFonts w:eastAsia="Times New Roman"/>
          <w:b/>
          <w:bCs/>
          <w:color w:val="FF0000"/>
          <w:kern w:val="0"/>
          <w:sz w:val="40"/>
          <w:szCs w:val="40"/>
          <w:u w:val="single"/>
          <w:lang w:eastAsia="es-ES"/>
          <w14:textOutline w14:w="0" w14:cap="flat" w14:cmpd="sng" w14:algn="ctr">
            <w14:noFill/>
            <w14:prstDash w14:val="solid"/>
            <w14:round/>
          </w14:textOutline>
          <w14:ligatures w14:val="none"/>
        </w:rPr>
        <w:lastRenderedPageBreak/>
        <w:t>¿ Qué Prestaciones ofrece Previfuturo ?</w:t>
      </w:r>
    </w:p>
    <w:p w14:paraId="643E8E18" w14:textId="77777777" w:rsidR="008E3A38" w:rsidRPr="005D3CF3" w:rsidRDefault="008E3A38"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p>
    <w:p w14:paraId="5106EE5E" w14:textId="77777777" w:rsidR="00074574" w:rsidRPr="00E6458E" w:rsidRDefault="00074574" w:rsidP="00E6458E">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Las contingencias cubiertas por el Plan son:</w:t>
      </w:r>
    </w:p>
    <w:p w14:paraId="11F37234" w14:textId="77777777" w:rsidR="00074574" w:rsidRPr="00E6458E" w:rsidRDefault="00074574" w:rsidP="00E6458E">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Jubilación.</w:t>
      </w:r>
    </w:p>
    <w:p w14:paraId="4370F781" w14:textId="77777777" w:rsidR="00074574" w:rsidRPr="00E6458E" w:rsidRDefault="00074574" w:rsidP="00E6458E">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Incapacidad Permanente para la profesión habitual.</w:t>
      </w:r>
    </w:p>
    <w:p w14:paraId="5FD3D5B2" w14:textId="77777777" w:rsidR="00074574" w:rsidRPr="00E6458E" w:rsidRDefault="00074574" w:rsidP="00E6458E">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Incapacidad Permanente para todo trabajo.</w:t>
      </w:r>
    </w:p>
    <w:p w14:paraId="5CB9F297" w14:textId="77777777" w:rsidR="00074574" w:rsidRPr="00E6458E" w:rsidRDefault="00074574" w:rsidP="00E6458E">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Gran Incapacidad.</w:t>
      </w:r>
    </w:p>
    <w:p w14:paraId="649C7E65" w14:textId="77777777" w:rsidR="00074574" w:rsidRPr="00E6458E" w:rsidRDefault="00074574" w:rsidP="00E6458E">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Fallecimiento del Partícipe (viudedad, orfandad u otro heredero).</w:t>
      </w:r>
    </w:p>
    <w:p w14:paraId="62A9C5FA" w14:textId="77777777" w:rsidR="00074574" w:rsidRPr="00E6458E" w:rsidRDefault="00074574" w:rsidP="00E6458E">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Fallecimiento del Beneficiario (viudedad u orfandad).</w:t>
      </w:r>
    </w:p>
    <w:p w14:paraId="261CE722" w14:textId="77777777" w:rsidR="00074574" w:rsidRPr="00E6458E" w:rsidRDefault="00074574" w:rsidP="00E6458E">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Dependencia</w:t>
      </w:r>
    </w:p>
    <w:p w14:paraId="6E87895F" w14:textId="4EDE2435" w:rsidR="00BA6E38" w:rsidRDefault="00BA6E38"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r w:rsidRPr="005D3CF3">
        <w:rPr>
          <w:rFonts w:eastAsia="Times New Roman"/>
          <w:b/>
          <w:bCs/>
          <w:color w:val="FF0000"/>
          <w:kern w:val="0"/>
          <w:sz w:val="40"/>
          <w:szCs w:val="40"/>
          <w:u w:val="single"/>
          <w:lang w:eastAsia="es-ES"/>
          <w14:textOutline w14:w="0" w14:cap="flat" w14:cmpd="sng" w14:algn="ctr">
            <w14:noFill/>
            <w14:prstDash w14:val="solid"/>
            <w14:round/>
          </w14:textOutline>
          <w14:ligatures w14:val="none"/>
        </w:rPr>
        <w:t>¿ Cómo se perciben las Prestaciones?</w:t>
      </w:r>
    </w:p>
    <w:p w14:paraId="60AE04DC" w14:textId="77777777" w:rsidR="00BA6E38" w:rsidRPr="00E6458E" w:rsidRDefault="00BA6E38"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Al producirse el hecho causante, las prestaciones, conforme establece el Plan, podrán percibirse en forma de:</w:t>
      </w:r>
    </w:p>
    <w:p w14:paraId="0EFD55CD" w14:textId="77777777" w:rsidR="00BA6E38" w:rsidRPr="00E6458E" w:rsidRDefault="00BA6E38"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AD135C">
        <w:rPr>
          <w:rFonts w:eastAsia="Times New Roman"/>
          <w:b/>
          <w:bCs/>
          <w:kern w:val="0"/>
          <w:sz w:val="24"/>
          <w:szCs w:val="24"/>
          <w:lang w:eastAsia="es-ES"/>
          <w14:textOutline w14:w="0" w14:cap="flat" w14:cmpd="sng" w14:algn="ctr">
            <w14:noFill/>
            <w14:prstDash w14:val="solid"/>
            <w14:round/>
          </w14:textOutline>
          <w14:ligatures w14:val="none"/>
        </w:rPr>
        <w:t>Capital</w:t>
      </w:r>
      <w:r w:rsidRPr="00E6458E">
        <w:rPr>
          <w:rFonts w:eastAsia="Times New Roman"/>
          <w:kern w:val="0"/>
          <w:sz w:val="24"/>
          <w:szCs w:val="24"/>
          <w:lang w:eastAsia="es-ES"/>
          <w14:textOutline w14:w="0" w14:cap="flat" w14:cmpd="sng" w14:algn="ctr">
            <w14:noFill/>
            <w14:prstDash w14:val="solid"/>
            <w14:round/>
          </w14:textOutline>
          <w14:ligatures w14:val="none"/>
        </w:rPr>
        <w:t xml:space="preserve"> , consistente en una percepción de pago único, que podrá ser inmediato a la fecha de solicitud de la prestación, o diferido a una fecha que el beneficiario estime oportuna. </w:t>
      </w:r>
      <w:r w:rsidRPr="00857DED">
        <w:rPr>
          <w:rFonts w:eastAsia="Times New Roman"/>
          <w:kern w:val="0"/>
          <w:sz w:val="24"/>
          <w:szCs w:val="24"/>
          <w:lang w:eastAsia="es-ES"/>
          <w14:textOutline w14:w="0" w14:cap="flat" w14:cmpd="sng" w14:algn="ctr">
            <w14:noFill/>
            <w14:prstDash w14:val="solid"/>
            <w14:round/>
          </w14:textOutline>
          <w14:ligatures w14:val="none"/>
        </w:rPr>
        <w:t>Se podrá anticipar el vencimiento del capital diferido en su totalidad.</w:t>
      </w:r>
    </w:p>
    <w:p w14:paraId="27D13FD6" w14:textId="77777777" w:rsidR="00BA6E38" w:rsidRPr="00E6458E" w:rsidRDefault="00BA6E38"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AD135C">
        <w:rPr>
          <w:rFonts w:eastAsia="Times New Roman"/>
          <w:b/>
          <w:bCs/>
          <w:kern w:val="0"/>
          <w:sz w:val="24"/>
          <w:szCs w:val="24"/>
          <w:lang w:eastAsia="es-ES"/>
          <w14:textOutline w14:w="0" w14:cap="flat" w14:cmpd="sng" w14:algn="ctr">
            <w14:noFill/>
            <w14:prstDash w14:val="solid"/>
            <w14:round/>
          </w14:textOutline>
          <w14:ligatures w14:val="none"/>
        </w:rPr>
        <w:t>Rentas</w:t>
      </w:r>
      <w:r w:rsidRPr="00E6458E">
        <w:rPr>
          <w:rFonts w:eastAsia="Times New Roman"/>
          <w:kern w:val="0"/>
          <w:sz w:val="24"/>
          <w:szCs w:val="24"/>
          <w:lang w:eastAsia="es-ES"/>
          <w14:textOutline w14:w="0" w14:cap="flat" w14:cmpd="sng" w14:algn="ctr">
            <w14:noFill/>
            <w14:prstDash w14:val="solid"/>
            <w14:round/>
          </w14:textOutline>
          <w14:ligatures w14:val="none"/>
        </w:rPr>
        <w:t>, consistente en la percepción de dos o más pagos sucesivos con periodicidad regular, incluyendo al menos un pago en cada anualidad. Las rentas podrán ser inmediatas a la fecha de la contingencia o diferidas en un momento posterior.</w:t>
      </w:r>
    </w:p>
    <w:p w14:paraId="218ACE95" w14:textId="4FAA79CE" w:rsidR="00BA6E38" w:rsidRDefault="00BA6E38"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AD135C">
        <w:rPr>
          <w:rFonts w:eastAsia="Times New Roman"/>
          <w:b/>
          <w:bCs/>
          <w:kern w:val="0"/>
          <w:sz w:val="24"/>
          <w:szCs w:val="24"/>
          <w:lang w:eastAsia="es-ES"/>
          <w14:textOutline w14:w="0" w14:cap="flat" w14:cmpd="sng" w14:algn="ctr">
            <w14:noFill/>
            <w14:prstDash w14:val="solid"/>
            <w14:round/>
          </w14:textOutline>
          <w14:ligatures w14:val="none"/>
        </w:rPr>
        <w:t>Mixta</w:t>
      </w:r>
      <w:r w:rsidRPr="00E6458E">
        <w:rPr>
          <w:rFonts w:eastAsia="Times New Roman"/>
          <w:kern w:val="0"/>
          <w:sz w:val="24"/>
          <w:szCs w:val="24"/>
          <w:lang w:eastAsia="es-ES"/>
          <w14:textOutline w14:w="0" w14:cap="flat" w14:cmpd="sng" w14:algn="ctr">
            <w14:noFill/>
            <w14:prstDash w14:val="solid"/>
            <w14:round/>
          </w14:textOutline>
          <w14:ligatures w14:val="none"/>
        </w:rPr>
        <w:t>, que combina rentas de cualquier tipo con un único pago en forma de capital, debiendo ajustarse a lo previsto en los dos puntos anteriores, respectivamente.</w:t>
      </w:r>
    </w:p>
    <w:p w14:paraId="5A0FB936" w14:textId="77777777" w:rsidR="008E3A38" w:rsidRPr="00E6458E" w:rsidRDefault="008E3A38" w:rsidP="008E3A38">
      <w:pPr>
        <w:jc w:val="both"/>
        <w:rPr>
          <w:rFonts w:eastAsia="Times New Roman"/>
          <w:kern w:val="0"/>
          <w:sz w:val="24"/>
          <w:szCs w:val="24"/>
          <w:lang w:eastAsia="es-ES"/>
          <w14:textOutline w14:w="0" w14:cap="flat" w14:cmpd="sng" w14:algn="ctr">
            <w14:noFill/>
            <w14:prstDash w14:val="solid"/>
            <w14:round/>
          </w14:textOutline>
          <w14:ligatures w14:val="none"/>
        </w:rPr>
      </w:pPr>
    </w:p>
    <w:p w14:paraId="74CE7DA4" w14:textId="2841439B" w:rsidR="00BA6E38" w:rsidRDefault="00BA6E38"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r w:rsidRPr="005D3CF3">
        <w:rPr>
          <w:rFonts w:eastAsia="Times New Roman"/>
          <w:b/>
          <w:bCs/>
          <w:color w:val="FF0000"/>
          <w:kern w:val="0"/>
          <w:sz w:val="40"/>
          <w:szCs w:val="40"/>
          <w:u w:val="single"/>
          <w:lang w:eastAsia="es-ES"/>
          <w14:textOutline w14:w="0" w14:cap="flat" w14:cmpd="sng" w14:algn="ctr">
            <w14:noFill/>
            <w14:prstDash w14:val="solid"/>
            <w14:round/>
          </w14:textOutline>
          <w14:ligatures w14:val="none"/>
        </w:rPr>
        <w:t>¿ Existen supuestos excepcionales para el cobro de los Derechos Consolidados?</w:t>
      </w:r>
    </w:p>
    <w:p w14:paraId="4EF2B59F" w14:textId="77777777" w:rsidR="001F2839" w:rsidRDefault="001F2839" w:rsidP="005D3CF3">
      <w:pPr>
        <w:rPr>
          <w:rFonts w:eastAsia="Times New Roman"/>
          <w:kern w:val="0"/>
          <w:sz w:val="24"/>
          <w:szCs w:val="24"/>
          <w:lang w:eastAsia="es-ES"/>
          <w14:textOutline w14:w="0" w14:cap="flat" w14:cmpd="sng" w14:algn="ctr">
            <w14:noFill/>
            <w14:prstDash w14:val="solid"/>
            <w14:round/>
          </w14:textOutline>
          <w14:ligatures w14:val="none"/>
        </w:rPr>
      </w:pPr>
      <w:r w:rsidRPr="001F2839">
        <w:rPr>
          <w:rFonts w:eastAsia="Times New Roman"/>
          <w:kern w:val="0"/>
          <w:sz w:val="24"/>
          <w:szCs w:val="24"/>
          <w:lang w:eastAsia="es-ES"/>
          <w14:textOutline w14:w="0" w14:cap="flat" w14:cmpd="sng" w14:algn="ctr">
            <w14:noFill/>
            <w14:prstDash w14:val="solid"/>
            <w14:round/>
          </w14:textOutline>
          <w14:ligatures w14:val="none"/>
        </w:rPr>
        <w:t>Sí, conforme a la normativa vigente, se podrán cobrar los derechos consolidados en los supuestos excepcionales de enfermedad grave y desempleo de larga duración, así como en aquellos otros supuestos que en cada momento establezca la legislación vigente, con los requisitos y condiciones que resulten de aplicación y que las Especificaciones establezcan.</w:t>
      </w:r>
    </w:p>
    <w:p w14:paraId="211672F4" w14:textId="77777777" w:rsidR="001F2839" w:rsidRDefault="001F2839"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p>
    <w:p w14:paraId="0CC2DB92" w14:textId="502E739F" w:rsidR="00BA6E38" w:rsidRDefault="00BA6E38"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r w:rsidRPr="005D3CF3">
        <w:rPr>
          <w:rFonts w:eastAsia="Times New Roman"/>
          <w:b/>
          <w:bCs/>
          <w:color w:val="FF0000"/>
          <w:kern w:val="0"/>
          <w:sz w:val="40"/>
          <w:szCs w:val="40"/>
          <w:u w:val="single"/>
          <w:lang w:eastAsia="es-ES"/>
          <w14:textOutline w14:w="0" w14:cap="flat" w14:cmpd="sng" w14:algn="ctr">
            <w14:noFill/>
            <w14:prstDash w14:val="solid"/>
            <w14:round/>
          </w14:textOutline>
          <w14:ligatures w14:val="none"/>
        </w:rPr>
        <w:lastRenderedPageBreak/>
        <w:t>¿ Pueden asegurarse las Pensiones ?</w:t>
      </w:r>
    </w:p>
    <w:p w14:paraId="36E342EA" w14:textId="77777777" w:rsidR="008E3A38" w:rsidRPr="005D3CF3" w:rsidRDefault="008E3A38"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p>
    <w:p w14:paraId="2A6E27B6" w14:textId="478AC97F" w:rsidR="00BA6E38" w:rsidRDefault="00BA6E38"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Existen modalidades de renta en forma de pensión que están aseguradas, percibiendo los beneficiarios una renta fija anual.</w:t>
      </w:r>
    </w:p>
    <w:p w14:paraId="3260F9B5" w14:textId="77777777" w:rsidR="008E3A38" w:rsidRPr="00E6458E" w:rsidRDefault="008E3A38" w:rsidP="008E3A38">
      <w:pPr>
        <w:jc w:val="both"/>
        <w:rPr>
          <w:rFonts w:eastAsia="Times New Roman"/>
          <w:kern w:val="0"/>
          <w:sz w:val="24"/>
          <w:szCs w:val="24"/>
          <w:lang w:eastAsia="es-ES"/>
          <w14:textOutline w14:w="0" w14:cap="flat" w14:cmpd="sng" w14:algn="ctr">
            <w14:noFill/>
            <w14:prstDash w14:val="solid"/>
            <w14:round/>
          </w14:textOutline>
          <w14:ligatures w14:val="none"/>
        </w:rPr>
      </w:pPr>
    </w:p>
    <w:p w14:paraId="40B72386" w14:textId="4D587629" w:rsidR="00BA6E38" w:rsidRDefault="00BA6E38"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r w:rsidRPr="005D3CF3">
        <w:rPr>
          <w:rFonts w:eastAsia="Times New Roman"/>
          <w:b/>
          <w:bCs/>
          <w:color w:val="FF0000"/>
          <w:kern w:val="0"/>
          <w:sz w:val="40"/>
          <w:szCs w:val="40"/>
          <w:u w:val="single"/>
          <w:lang w:eastAsia="es-ES"/>
          <w14:textOutline w14:w="0" w14:cap="flat" w14:cmpd="sng" w14:algn="ctr">
            <w14:noFill/>
            <w14:prstDash w14:val="solid"/>
            <w14:round/>
          </w14:textOutline>
          <w14:ligatures w14:val="none"/>
        </w:rPr>
        <w:t>¿ Qué aportaciones pueden hacerse al Plan de Pensiones?</w:t>
      </w:r>
    </w:p>
    <w:p w14:paraId="55B9E1D4" w14:textId="77777777" w:rsidR="008E3A38" w:rsidRPr="005D3CF3" w:rsidRDefault="008E3A38" w:rsidP="005D3CF3">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p>
    <w:p w14:paraId="4CDAA31F" w14:textId="77777777" w:rsidR="00BA6E38" w:rsidRPr="00E6458E" w:rsidRDefault="00BA6E38"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Existen dos tipos de aportaciones:</w:t>
      </w:r>
    </w:p>
    <w:p w14:paraId="7AB0B520" w14:textId="77777777" w:rsidR="00BA6E38" w:rsidRPr="00E6458E" w:rsidRDefault="00BA6E38"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AD135C">
        <w:rPr>
          <w:rFonts w:eastAsia="Times New Roman"/>
          <w:b/>
          <w:bCs/>
          <w:kern w:val="0"/>
          <w:sz w:val="24"/>
          <w:szCs w:val="24"/>
          <w:lang w:eastAsia="es-ES"/>
          <w14:textOutline w14:w="0" w14:cap="flat" w14:cmpd="sng" w14:algn="ctr">
            <w14:noFill/>
            <w14:prstDash w14:val="solid"/>
            <w14:round/>
          </w14:textOutline>
          <w14:ligatures w14:val="none"/>
        </w:rPr>
        <w:t>Aportaciones Regulares</w:t>
      </w:r>
      <w:r w:rsidRPr="00E6458E">
        <w:rPr>
          <w:rFonts w:eastAsia="Times New Roman"/>
          <w:kern w:val="0"/>
          <w:sz w:val="24"/>
          <w:szCs w:val="24"/>
          <w:lang w:eastAsia="es-ES"/>
          <w14:textOutline w14:w="0" w14:cap="flat" w14:cmpd="sng" w14:algn="ctr">
            <w14:noFill/>
            <w14:prstDash w14:val="solid"/>
            <w14:round/>
          </w14:textOutline>
          <w14:ligatures w14:val="none"/>
        </w:rPr>
        <w:t>: </w:t>
      </w:r>
      <w:r w:rsidRPr="00857DED">
        <w:rPr>
          <w:rFonts w:eastAsia="Times New Roman"/>
          <w:kern w:val="0"/>
          <w:sz w:val="24"/>
          <w:szCs w:val="24"/>
          <w:lang w:eastAsia="es-ES"/>
          <w14:textOutline w14:w="0" w14:cap="flat" w14:cmpd="sng" w14:algn="ctr">
            <w14:noFill/>
            <w14:prstDash w14:val="solid"/>
            <w14:round/>
          </w14:textOutline>
          <w14:ligatures w14:val="none"/>
        </w:rPr>
        <w:t>Mínimo 30 Euros</w:t>
      </w:r>
      <w:r w:rsidRPr="00E6458E">
        <w:rPr>
          <w:rFonts w:eastAsia="Times New Roman"/>
          <w:kern w:val="0"/>
          <w:sz w:val="24"/>
          <w:szCs w:val="24"/>
          <w:lang w:eastAsia="es-ES"/>
          <w14:textOutline w14:w="0" w14:cap="flat" w14:cmpd="sng" w14:algn="ctr">
            <w14:noFill/>
            <w14:prstDash w14:val="solid"/>
            <w14:round/>
          </w14:textOutline>
          <w14:ligatures w14:val="none"/>
        </w:rPr>
        <w:t xml:space="preserve"> mensuales y el máximo dentro de los límites establecidos por la Ley. El adeudo se realizará mediante cargo en cuenta bancaria, en el Santander y su periodicidad será mensual, trimestral, semestral o anual.</w:t>
      </w:r>
    </w:p>
    <w:p w14:paraId="682176CC" w14:textId="77777777" w:rsidR="00BA6E38" w:rsidRPr="00E6458E" w:rsidRDefault="00BA6E38"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AD135C">
        <w:rPr>
          <w:rFonts w:eastAsia="Times New Roman"/>
          <w:b/>
          <w:bCs/>
          <w:kern w:val="0"/>
          <w:sz w:val="24"/>
          <w:szCs w:val="24"/>
          <w:lang w:eastAsia="es-ES"/>
          <w14:textOutline w14:w="0" w14:cap="flat" w14:cmpd="sng" w14:algn="ctr">
            <w14:noFill/>
            <w14:prstDash w14:val="solid"/>
            <w14:round/>
          </w14:textOutline>
          <w14:ligatures w14:val="none"/>
        </w:rPr>
        <w:t>Aportaciones Extraordinarias</w:t>
      </w:r>
      <w:r w:rsidRPr="00E6458E">
        <w:rPr>
          <w:rFonts w:eastAsia="Times New Roman"/>
          <w:kern w:val="0"/>
          <w:sz w:val="24"/>
          <w:szCs w:val="24"/>
          <w:lang w:eastAsia="es-ES"/>
          <w14:textOutline w14:w="0" w14:cap="flat" w14:cmpd="sng" w14:algn="ctr">
            <w14:noFill/>
            <w14:prstDash w14:val="solid"/>
            <w14:round/>
          </w14:textOutline>
          <w14:ligatures w14:val="none"/>
        </w:rPr>
        <w:t>: El partícipe podrá hacer en el transcurso del año, las Aportaciones Extraordinarias que desee, tanto en cuantía, siempre que ésta se encuentre dentro de los límites establecidos por Ley, como en su fecha.</w:t>
      </w:r>
    </w:p>
    <w:p w14:paraId="66D758C8" w14:textId="77777777" w:rsidR="00BA6E38" w:rsidRPr="00E6458E" w:rsidRDefault="00BA6E38"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Todo partícipe podrá modificar o interrumpir sus aportaciones el tiempo que desee, manteniendo todas las prestaciones que el Plan otorga, teniendo en cuenta que, en el caso de suspender las aportaciones, si tiene contratada una cobertura del Capital Asegurado, ésta quedará interrumpida automáticamente.</w:t>
      </w:r>
    </w:p>
    <w:p w14:paraId="426BE946" w14:textId="373A19AA" w:rsidR="00E11CE2" w:rsidRPr="005D3CF3" w:rsidRDefault="00E11CE2" w:rsidP="005D3CF3">
      <w:pPr>
        <w:rPr>
          <w:rFonts w:eastAsia="Times New Roman"/>
          <w:b/>
          <w:bCs/>
          <w:color w:val="FF0000"/>
          <w:kern w:val="0"/>
          <w:sz w:val="40"/>
          <w:szCs w:val="40"/>
          <w:lang w:eastAsia="es-ES"/>
          <w14:textOutline w14:w="0" w14:cap="flat" w14:cmpd="sng" w14:algn="ctr">
            <w14:noFill/>
            <w14:prstDash w14:val="solid"/>
            <w14:round/>
          </w14:textOutline>
          <w14:ligatures w14:val="none"/>
        </w:rPr>
      </w:pPr>
      <w:r w:rsidRPr="005D3CF3">
        <w:rPr>
          <w:rFonts w:eastAsia="Times New Roman"/>
          <w:b/>
          <w:bCs/>
          <w:color w:val="FF0000"/>
          <w:kern w:val="0"/>
          <w:sz w:val="40"/>
          <w:szCs w:val="40"/>
          <w:lang w:eastAsia="es-ES"/>
          <w14:textOutline w14:w="0" w14:cap="flat" w14:cmpd="sng" w14:algn="ctr">
            <w14:noFill/>
            <w14:prstDash w14:val="solid"/>
            <w14:round/>
          </w14:textOutline>
          <w14:ligatures w14:val="none"/>
        </w:rPr>
        <w:t>Altas y Bajas en el Plan de Pensiones Previfuturo</w:t>
      </w:r>
    </w:p>
    <w:p w14:paraId="40E0E7D0" w14:textId="15F89FB9" w:rsidR="00E11CE2" w:rsidRPr="00857DED" w:rsidRDefault="00E11CE2" w:rsidP="008E3A38">
      <w:pPr>
        <w:jc w:val="both"/>
        <w:rPr>
          <w:rFonts w:eastAsia="Times New Roman"/>
          <w:kern w:val="0"/>
          <w:sz w:val="24"/>
          <w:szCs w:val="24"/>
          <w:lang w:eastAsia="es-ES"/>
          <w14:textOutline w14:w="0" w14:cap="flat" w14:cmpd="sng" w14:algn="ctr">
            <w14:noFill/>
            <w14:prstDash w14:val="solid"/>
            <w14:round/>
          </w14:textOutline>
          <w14:ligatures w14:val="none"/>
        </w:rPr>
      </w:pPr>
      <w:r>
        <w:rPr>
          <w:rFonts w:eastAsia="Times New Roman"/>
          <w:kern w:val="0"/>
          <w:sz w:val="24"/>
          <w:szCs w:val="24"/>
          <w:lang w:eastAsia="es-ES"/>
          <w14:textOutline w14:w="0" w14:cap="flat" w14:cmpd="sng" w14:algn="ctr">
            <w14:noFill/>
            <w14:prstDash w14:val="solid"/>
            <w14:round/>
          </w14:textOutline>
          <w14:ligatures w14:val="none"/>
        </w:rPr>
        <w:t>La adhesión al Plan se formaliza mediante la operativa habilitada por Banco Santander. Además, deberá tramitarse el alta en el promotor, la ASOCIACION PARA LA PREVISION SOCIAL COMPLEMENTARIA DE EMPLEADOS DEL GRUPO SANTANDER, mediante el envío del formulario disponible en la página web de la Asociación (www.previfuturo.com).</w:t>
      </w:r>
    </w:p>
    <w:p w14:paraId="71B52CFD" w14:textId="77777777" w:rsidR="00E11CE2" w:rsidRPr="00857DED" w:rsidRDefault="00E11CE2" w:rsidP="008E3A38">
      <w:pPr>
        <w:jc w:val="both"/>
        <w:rPr>
          <w:rFonts w:eastAsia="Times New Roman"/>
          <w:kern w:val="0"/>
          <w:sz w:val="24"/>
          <w:szCs w:val="24"/>
          <w:lang w:eastAsia="es-ES"/>
          <w14:textOutline w14:w="0" w14:cap="flat" w14:cmpd="sng" w14:algn="ctr">
            <w14:noFill/>
            <w14:prstDash w14:val="solid"/>
            <w14:round/>
          </w14:textOutline>
          <w14:ligatures w14:val="none"/>
        </w:rPr>
      </w:pPr>
    </w:p>
    <w:p w14:paraId="0F29F80C" w14:textId="77777777" w:rsidR="00E11CE2" w:rsidRPr="00E6458E" w:rsidRDefault="00E11CE2" w:rsidP="008E3A38">
      <w:pPr>
        <w:jc w:val="both"/>
        <w:rPr>
          <w:rFonts w:eastAsia="Times New Roman"/>
          <w:kern w:val="0"/>
          <w:sz w:val="24"/>
          <w:szCs w:val="24"/>
          <w:lang w:eastAsia="es-ES"/>
          <w14:textOutline w14:w="0" w14:cap="flat" w14:cmpd="sng" w14:algn="ctr">
            <w14:noFill/>
            <w14:prstDash w14:val="solid"/>
            <w14:round/>
          </w14:textOutline>
          <w14:ligatures w14:val="none"/>
        </w:rPr>
      </w:pPr>
      <w:r w:rsidRPr="00857DED">
        <w:rPr>
          <w:rFonts w:eastAsia="Times New Roman"/>
          <w:kern w:val="0"/>
          <w:sz w:val="24"/>
          <w:szCs w:val="24"/>
          <w:lang w:eastAsia="es-ES"/>
          <w14:textOutline w14:w="0" w14:cap="flat" w14:cmpd="sng" w14:algn="ctr">
            <w14:noFill/>
            <w14:prstDash w14:val="solid"/>
            <w14:round/>
          </w14:textOutline>
          <w14:ligatures w14:val="none"/>
        </w:rPr>
        <w:t>En caso de que haya solicitado el seguro complementario será preciso, para tener derecho al mismo, que la compañía de seguros haya aceptado su cobertura y se haya pagado la primera prima mensual. A tal efecto, la solicitud se enviará a la entidad Gestora.</w:t>
      </w:r>
    </w:p>
    <w:p w14:paraId="15D56596" w14:textId="5719612C" w:rsidR="00E11CE2" w:rsidRPr="008E3A38" w:rsidRDefault="00E11CE2" w:rsidP="008E3A38">
      <w:pPr>
        <w:jc w:val="both"/>
        <w:rPr>
          <w:rFonts w:eastAsia="Times New Roman"/>
          <w:kern w:val="0"/>
          <w:sz w:val="24"/>
          <w:szCs w:val="24"/>
          <w:lang w:eastAsia="es-ES"/>
          <w14:textOutline w14:w="0" w14:cap="flat" w14:cmpd="sng" w14:algn="ctr">
            <w14:noFill/>
            <w14:prstDash w14:val="solid"/>
            <w14:round/>
          </w14:textOutline>
          <w14:ligatures w14:val="none"/>
        </w:rPr>
      </w:pPr>
      <w:r>
        <w:rPr>
          <w:rFonts w:eastAsia="Times New Roman"/>
          <w:kern w:val="0"/>
          <w:sz w:val="24"/>
          <w:szCs w:val="24"/>
          <w:lang w:eastAsia="es-ES"/>
          <w14:textOutline w14:w="0" w14:cap="flat" w14:cmpd="sng" w14:algn="ctr">
            <w14:noFill/>
            <w14:prstDash w14:val="solid"/>
            <w14:round/>
          </w14:textOutline>
          <w14:ligatures w14:val="none"/>
        </w:rPr>
        <w:t>El Partícipe puede solicitar el traspaso de sus Derechos Consolidados a otro Plan de Pensiones, en cualquier momento y en la forma y condiciones establecidas en las Especificaciones del Plan. La operativa podrá realizarse a través de las oficinas de Banco Santander y, cuando esté habilitada, mediante los canales digitales correspondientes.</w:t>
      </w:r>
    </w:p>
    <w:p w14:paraId="05D33CD3" w14:textId="13D1264C" w:rsidR="00E11CE2" w:rsidRPr="00E6458E" w:rsidRDefault="00E11CE2" w:rsidP="005D3CF3">
      <w:pPr>
        <w:rPr>
          <w:rFonts w:eastAsia="Times New Roman"/>
          <w:kern w:val="0"/>
          <w:sz w:val="24"/>
          <w:szCs w:val="24"/>
          <w:lang w:eastAsia="es-ES"/>
          <w14:textOutline w14:w="0" w14:cap="flat" w14:cmpd="sng" w14:algn="ctr">
            <w14:noFill/>
            <w14:prstDash w14:val="solid"/>
            <w14:round/>
          </w14:textOutline>
          <w14:ligatures w14:val="none"/>
        </w:rPr>
      </w:pPr>
      <w:r w:rsidRPr="005D3CF3">
        <w:rPr>
          <w:rFonts w:eastAsia="Times New Roman" w:cstheme="minorHAnsi"/>
          <w:b/>
          <w:color w:val="FF0000"/>
          <w:kern w:val="0"/>
          <w:sz w:val="40"/>
          <w:szCs w:val="40"/>
          <w:lang w:eastAsia="es-ES"/>
          <w14:textOutline w14:w="0" w14:cap="flat" w14:cmpd="sng" w14:algn="ctr">
            <w14:noFill/>
            <w14:prstDash w14:val="solid"/>
            <w14:round/>
          </w14:textOutline>
          <w14:ligatures w14:val="none"/>
        </w:rPr>
        <w:lastRenderedPageBreak/>
        <w:t>Posibilidad de realizar aportaciones a partir del acceso a la jubilación</w:t>
      </w:r>
      <w:r w:rsidRPr="005D3CF3">
        <w:rPr>
          <w:rFonts w:eastAsia="Times New Roman"/>
          <w:b/>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El acceso a la jubilación no implica necesariamente que las aportaciones efectuadas con posterioridad sólo cubra la prestación de fallecimiento.</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Desde el 1 de enero de 2007, a partir del acceso a la jubilación y hasta el cobro de la prestación por jubilación, siempre y cuando no se haya percibido cantidad alguna del Plan de Pensiones, el partícipe podrá seguir realizando aportaciones al Plan de Pensiones para la cobertura de dicha contingencia.</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Una vez iniciado el cobro de la prestación de jubilación o el cobro anticipado de la prestación correspondiente a la jubilación, las aportaciones sólo podrán destinarse a las contingencias de fallecimiento y a la nueva contingencia de dependencia.</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El mismo régimen se aplicará cuando no sea posible el acceso a la jubilación, a las aportaciones que se realicen a partir de la edad ordinaria de jubilación.</w:t>
      </w:r>
      <w:r w:rsidRPr="00E6458E">
        <w:rPr>
          <w:rFonts w:eastAsia="Times New Roman"/>
          <w:kern w:val="0"/>
          <w:sz w:val="24"/>
          <w:szCs w:val="24"/>
          <w:lang w:eastAsia="es-ES"/>
          <w14:textOutline w14:w="0" w14:cap="flat" w14:cmpd="sng" w14:algn="ctr">
            <w14:noFill/>
            <w14:prstDash w14:val="solid"/>
            <w14:round/>
          </w14:textOutline>
          <w14:ligatures w14:val="none"/>
        </w:rPr>
        <w:br/>
      </w:r>
    </w:p>
    <w:p w14:paraId="0CD832E7" w14:textId="47A7B813" w:rsidR="00E11CE2" w:rsidRPr="00637E9B" w:rsidRDefault="00E11CE2" w:rsidP="00E6458E">
      <w:pPr>
        <w:rPr>
          <w:rFonts w:eastAsia="Times New Roman"/>
          <w:kern w:val="0"/>
          <w:sz w:val="24"/>
          <w:szCs w:val="24"/>
          <w:lang w:eastAsia="es-ES"/>
          <w14:textOutline w14:w="0" w14:cap="flat" w14:cmpd="sng" w14:algn="ctr">
            <w14:noFill/>
            <w14:prstDash w14:val="solid"/>
            <w14:round/>
          </w14:textOutline>
          <w14:ligatures w14:val="none"/>
        </w:rPr>
      </w:pPr>
      <w:r>
        <w:rPr>
          <w:rFonts w:eastAsia="Times New Roman"/>
          <w:b/>
          <w:bCs/>
          <w:color w:val="FF0000"/>
          <w:kern w:val="0"/>
          <w:sz w:val="40"/>
          <w:szCs w:val="40"/>
          <w:lang w:eastAsia="es-ES"/>
          <w14:textOutline w14:w="0" w14:cap="flat" w14:cmpd="sng" w14:algn="ctr">
            <w14:noFill/>
            <w14:prstDash w14:val="solid"/>
            <w14:round/>
          </w14:textOutline>
          <w14:ligatures w14:val="none"/>
        </w:rPr>
        <w:t>Fiscalidad de las prestaciones y régimen transitorio</w:t>
      </w:r>
      <w:r>
        <w:rPr>
          <w:rFonts w:eastAsia="Times New Roman"/>
          <w:b/>
          <w:bCs/>
          <w:color w:val="FF0000"/>
          <w:kern w:val="0"/>
          <w:sz w:val="40"/>
          <w:szCs w:val="40"/>
          <w:lang w:eastAsia="es-ES"/>
          <w14:textOutline w14:w="0" w14:cap="flat" w14:cmpd="sng" w14:algn="ctr">
            <w14:noFill/>
            <w14:prstDash w14:val="solid"/>
            <w14:round/>
          </w14:textOutline>
          <w14:ligatures w14:val="none"/>
        </w:rPr>
        <w:br/>
      </w:r>
      <w:r>
        <w:rPr>
          <w:rFonts w:eastAsia="Times New Roman"/>
          <w:b/>
          <w:bCs/>
          <w:color w:val="FF0000"/>
          <w:kern w:val="0"/>
          <w:sz w:val="40"/>
          <w:szCs w:val="40"/>
          <w:lang w:eastAsia="es-ES"/>
          <w14:textOutline w14:w="0" w14:cap="flat" w14:cmpd="sng" w14:algn="ctr">
            <w14:noFill/>
            <w14:prstDash w14:val="solid"/>
            <w14:round/>
          </w14:textOutline>
          <w14:ligatures w14:val="none"/>
        </w:rPr>
        <w:br/>
      </w:r>
      <w:r w:rsidRPr="00637E9B">
        <w:rPr>
          <w:rFonts w:eastAsia="Times New Roman"/>
          <w:kern w:val="0"/>
          <w:sz w:val="24"/>
          <w:szCs w:val="24"/>
          <w:lang w:eastAsia="es-ES"/>
          <w14:textOutline w14:w="0" w14:cap="flat" w14:cmpd="sng" w14:algn="ctr">
            <w14:noFill/>
            <w14:prstDash w14:val="solid"/>
            <w14:round/>
          </w14:textOutline>
          <w14:ligatures w14:val="none"/>
        </w:rPr>
        <w:t>La fiscalidad de las prestaciones de los planes de pensiones está sujeta a la normativa vigente en cada momento. Determinados regímenes transitorios pueden resultar aplicables a la parte de las prestaciones correspondiente a aportaciones realizadas hasta el 31 de diciembre de 2006. Su aplicación depende de las circunstancias particulares del beneficiario, de la contingencia, de la forma y fecha de cobro y, en su caso, de la existencia de otros planes de pensiones.</w:t>
      </w:r>
      <w:r w:rsidRPr="00637E9B">
        <w:rPr>
          <w:rFonts w:eastAsia="Times New Roman"/>
          <w:kern w:val="0"/>
          <w:sz w:val="24"/>
          <w:szCs w:val="24"/>
          <w:lang w:eastAsia="es-ES"/>
          <w14:textOutline w14:w="0" w14:cap="flat" w14:cmpd="sng" w14:algn="ctr">
            <w14:noFill/>
            <w14:prstDash w14:val="solid"/>
            <w14:round/>
          </w14:textOutline>
          <w14:ligatures w14:val="none"/>
        </w:rPr>
        <w:br/>
      </w:r>
      <w:r w:rsidRPr="00637E9B">
        <w:rPr>
          <w:rFonts w:eastAsia="Times New Roman"/>
          <w:kern w:val="0"/>
          <w:sz w:val="24"/>
          <w:szCs w:val="24"/>
          <w:lang w:eastAsia="es-ES"/>
          <w14:textOutline w14:w="0" w14:cap="flat" w14:cmpd="sng" w14:algn="ctr">
            <w14:noFill/>
            <w14:prstDash w14:val="solid"/>
            <w14:round/>
          </w14:textOutline>
          <w14:ligatures w14:val="none"/>
        </w:rPr>
        <w:br/>
        <w:t>Por ello, antes de decidir la forma o el momento de cobro, se recomienda solicitar asesoramiento fiscal individualizado. La información anterior tiene carácter general y no constituye asesoramiento fiscal ni sustituye el análisis de cada caso concreto.</w:t>
      </w:r>
    </w:p>
    <w:p w14:paraId="30A58D2A" w14:textId="03B1C90D" w:rsidR="00E11CE2" w:rsidRDefault="00E11CE2" w:rsidP="00E6458E">
      <w:pPr>
        <w:rPr>
          <w:rFonts w:eastAsia="Times New Roman"/>
          <w:b/>
          <w:bCs/>
          <w:color w:val="FF0000"/>
          <w:kern w:val="0"/>
          <w:sz w:val="40"/>
          <w:szCs w:val="40"/>
          <w:lang w:eastAsia="es-ES"/>
          <w14:textOutline w14:w="0" w14:cap="flat" w14:cmpd="sng" w14:algn="ctr">
            <w14:noFill/>
            <w14:prstDash w14:val="solid"/>
            <w14:round/>
          </w14:textOutline>
          <w14:ligatures w14:val="none"/>
        </w:rPr>
      </w:pPr>
      <w:r>
        <w:rPr>
          <w:rFonts w:eastAsia="Times New Roman"/>
          <w:b/>
          <w:bCs/>
          <w:color w:val="FF0000"/>
          <w:kern w:val="0"/>
          <w:sz w:val="40"/>
          <w:szCs w:val="40"/>
          <w:lang w:eastAsia="es-ES"/>
          <w14:textOutline w14:w="0" w14:cap="flat" w14:cmpd="sng" w14:algn="ctr">
            <w14:noFill/>
            <w14:prstDash w14:val="solid"/>
            <w14:round/>
          </w14:textOutline>
          <w14:ligatures w14:val="none"/>
        </w:rPr>
        <w:t>Operaciones del Plan</w:t>
      </w:r>
    </w:p>
    <w:p w14:paraId="58C7471A" w14:textId="10ECD5B7" w:rsidR="005D3CF3" w:rsidRPr="005D3CF3" w:rsidRDefault="005D3CF3" w:rsidP="008E3A38">
      <w:pPr>
        <w:jc w:val="both"/>
        <w:rPr>
          <w:rFonts w:eastAsia="Times New Roman"/>
          <w:b/>
          <w:bCs/>
          <w:color w:val="FF0000"/>
          <w:kern w:val="0"/>
          <w:sz w:val="40"/>
          <w:szCs w:val="40"/>
          <w:lang w:eastAsia="es-ES"/>
          <w14:textOutline w14:w="0" w14:cap="flat" w14:cmpd="sng" w14:algn="ctr">
            <w14:noFill/>
            <w14:prstDash w14:val="solid"/>
            <w14:round/>
          </w14:textOutline>
          <w14:ligatures w14:val="none"/>
        </w:rPr>
      </w:pPr>
      <w:r>
        <w:t>La operativa relacionada con el Plan de Pensiones Previfuturo puede realizarse a través de las oficinas de Banco Santander y, para aquellas gestiones que estén habilitadas, mediante los canales digitales correspondientes. La disponibilidad, los requisitos y el alcance de cada operación serán los vigentes en cada momento.</w:t>
      </w:r>
    </w:p>
    <w:sectPr w:rsidR="005D3CF3" w:rsidRPr="005D3C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E4000"/>
    <w:multiLevelType w:val="multilevel"/>
    <w:tmpl w:val="DE4A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12345B"/>
    <w:multiLevelType w:val="multilevel"/>
    <w:tmpl w:val="A214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D04D3D"/>
    <w:multiLevelType w:val="multilevel"/>
    <w:tmpl w:val="C6B2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A1DB0"/>
    <w:multiLevelType w:val="multilevel"/>
    <w:tmpl w:val="4BE27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366433"/>
    <w:multiLevelType w:val="multilevel"/>
    <w:tmpl w:val="71BC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834C08"/>
    <w:multiLevelType w:val="multilevel"/>
    <w:tmpl w:val="01E4C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310B81"/>
    <w:multiLevelType w:val="multilevel"/>
    <w:tmpl w:val="275C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CA5E1A"/>
    <w:multiLevelType w:val="multilevel"/>
    <w:tmpl w:val="964C5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8C0945"/>
    <w:multiLevelType w:val="multilevel"/>
    <w:tmpl w:val="8DCE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33F0D"/>
    <w:multiLevelType w:val="multilevel"/>
    <w:tmpl w:val="2468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3"/>
  </w:num>
  <w:num w:numId="4">
    <w:abstractNumId w:val="8"/>
  </w:num>
  <w:num w:numId="5">
    <w:abstractNumId w:val="1"/>
  </w:num>
  <w:num w:numId="6">
    <w:abstractNumId w:val="7"/>
  </w:num>
  <w:num w:numId="7">
    <w:abstractNumId w:val="2"/>
  </w:num>
  <w:num w:numId="8">
    <w:abstractNumId w:val="4"/>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4"/>
    <w:rsid w:val="000064DE"/>
    <w:rsid w:val="00074574"/>
    <w:rsid w:val="000F26EE"/>
    <w:rsid w:val="000F6497"/>
    <w:rsid w:val="000F7814"/>
    <w:rsid w:val="001B1729"/>
    <w:rsid w:val="001F2839"/>
    <w:rsid w:val="003F731F"/>
    <w:rsid w:val="004708FB"/>
    <w:rsid w:val="005235E7"/>
    <w:rsid w:val="005706E6"/>
    <w:rsid w:val="005D3CF3"/>
    <w:rsid w:val="00637E9B"/>
    <w:rsid w:val="006F2FDC"/>
    <w:rsid w:val="00761FB0"/>
    <w:rsid w:val="00857DED"/>
    <w:rsid w:val="008E3A38"/>
    <w:rsid w:val="009751B8"/>
    <w:rsid w:val="00A47D21"/>
    <w:rsid w:val="00AA0F96"/>
    <w:rsid w:val="00AD135C"/>
    <w:rsid w:val="00B23758"/>
    <w:rsid w:val="00BA6E38"/>
    <w:rsid w:val="00E11CE2"/>
    <w:rsid w:val="00E6458E"/>
    <w:rsid w:val="00F605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5277"/>
  <w15:chartTrackingRefBased/>
  <w15:docId w15:val="{1FCC75F3-AE3E-482D-8043-A8DD4B27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45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745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7457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7457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7457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745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45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45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45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457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7457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7457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7457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7457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745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45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45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4574"/>
    <w:rPr>
      <w:rFonts w:eastAsiaTheme="majorEastAsia" w:cstheme="majorBidi"/>
      <w:color w:val="272727" w:themeColor="text1" w:themeTint="D8"/>
    </w:rPr>
  </w:style>
  <w:style w:type="paragraph" w:styleId="Ttulo">
    <w:name w:val="Title"/>
    <w:basedOn w:val="Normal"/>
    <w:next w:val="Normal"/>
    <w:link w:val="TtuloCar"/>
    <w:uiPriority w:val="10"/>
    <w:qFormat/>
    <w:rsid w:val="000745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45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45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45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4574"/>
    <w:pPr>
      <w:spacing w:before="160"/>
      <w:jc w:val="center"/>
    </w:pPr>
    <w:rPr>
      <w:i/>
      <w:iCs/>
      <w:color w:val="404040" w:themeColor="text1" w:themeTint="BF"/>
    </w:rPr>
  </w:style>
  <w:style w:type="character" w:customStyle="1" w:styleId="CitaCar">
    <w:name w:val="Cita Car"/>
    <w:basedOn w:val="Fuentedeprrafopredeter"/>
    <w:link w:val="Cita"/>
    <w:uiPriority w:val="29"/>
    <w:rsid w:val="00074574"/>
    <w:rPr>
      <w:i/>
      <w:iCs/>
      <w:color w:val="404040" w:themeColor="text1" w:themeTint="BF"/>
    </w:rPr>
  </w:style>
  <w:style w:type="paragraph" w:styleId="Prrafodelista">
    <w:name w:val="List Paragraph"/>
    <w:basedOn w:val="Normal"/>
    <w:uiPriority w:val="34"/>
    <w:qFormat/>
    <w:rsid w:val="00074574"/>
    <w:pPr>
      <w:ind w:left="720"/>
      <w:contextualSpacing/>
    </w:pPr>
  </w:style>
  <w:style w:type="character" w:styleId="nfasisintenso">
    <w:name w:val="Intense Emphasis"/>
    <w:basedOn w:val="Fuentedeprrafopredeter"/>
    <w:uiPriority w:val="21"/>
    <w:qFormat/>
    <w:rsid w:val="00074574"/>
    <w:rPr>
      <w:i/>
      <w:iCs/>
      <w:color w:val="2F5496" w:themeColor="accent1" w:themeShade="BF"/>
    </w:rPr>
  </w:style>
  <w:style w:type="paragraph" w:styleId="Citadestacada">
    <w:name w:val="Intense Quote"/>
    <w:basedOn w:val="Normal"/>
    <w:next w:val="Normal"/>
    <w:link w:val="CitadestacadaCar"/>
    <w:uiPriority w:val="30"/>
    <w:qFormat/>
    <w:rsid w:val="000745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74574"/>
    <w:rPr>
      <w:i/>
      <w:iCs/>
      <w:color w:val="2F5496" w:themeColor="accent1" w:themeShade="BF"/>
    </w:rPr>
  </w:style>
  <w:style w:type="character" w:styleId="Referenciaintensa">
    <w:name w:val="Intense Reference"/>
    <w:basedOn w:val="Fuentedeprrafopredeter"/>
    <w:uiPriority w:val="32"/>
    <w:qFormat/>
    <w:rsid w:val="00074574"/>
    <w:rPr>
      <w:b/>
      <w:bCs/>
      <w:smallCaps/>
      <w:color w:val="2F5496" w:themeColor="accent1" w:themeShade="BF"/>
      <w:spacing w:val="5"/>
    </w:rPr>
  </w:style>
  <w:style w:type="character" w:styleId="Hipervnculo">
    <w:name w:val="Hyperlink"/>
    <w:basedOn w:val="Fuentedeprrafopredeter"/>
    <w:uiPriority w:val="99"/>
    <w:unhideWhenUsed/>
    <w:rsid w:val="00E11C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F4053-0BBD-454B-BBE2-45556CCB0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1116</Words>
  <Characters>6141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Qué es Previfuturo</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Qué es Previfuturo</dc:title>
  <dc:subject>Versión revisada para publicación web</dc:subject>
  <dc:creator>Ricardo Pulido</dc:creator>
  <cp:keywords/>
  <dc:description/>
  <cp:lastModifiedBy>Asus</cp:lastModifiedBy>
  <cp:revision>17</cp:revision>
  <dcterms:created xsi:type="dcterms:W3CDTF">2026-10-02T08:05:00Z</dcterms:created>
  <dcterms:modified xsi:type="dcterms:W3CDTF">2026-10-02T18:56:00Z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43f10a-881e-4653-a55e-02ca2cc829dc_Enabled">
    <vt:lpwstr>true</vt:lpwstr>
  </property>
  <property fmtid="{D5CDD505-2E9C-101B-9397-08002B2CF9AE}" pid="3" name="MSIP_Label_9043f10a-881e-4653-a55e-02ca2cc829dc_SetDate">
    <vt:lpwstr>2026-10-02T08:05:38Z</vt:lpwstr>
  </property>
  <property fmtid="{D5CDD505-2E9C-101B-9397-08002B2CF9AE}" pid="4" name="MSIP_Label_9043f10a-881e-4653-a55e-02ca2cc829dc_Method">
    <vt:lpwstr>Privileged</vt:lpwstr>
  </property>
  <property fmtid="{D5CDD505-2E9C-101B-9397-08002B2CF9AE}" pid="5" name="MSIP_Label_9043f10a-881e-4653-a55e-02ca2cc829dc_Name">
    <vt:lpwstr>ADC_class_200</vt:lpwstr>
  </property>
  <property fmtid="{D5CDD505-2E9C-101B-9397-08002B2CF9AE}" pid="6" name="MSIP_Label_9043f10a-881e-4653-a55e-02ca2cc829dc_SiteId">
    <vt:lpwstr>94cfddbc-0627-494a-ad7a-29aea3aea832</vt:lpwstr>
  </property>
  <property fmtid="{D5CDD505-2E9C-101B-9397-08002B2CF9AE}" pid="7" name="MSIP_Label_9043f10a-881e-4653-a55e-02ca2cc829dc_ActionId">
    <vt:lpwstr>930b96b5-d0fb-48b7-aa86-206ca0f83239</vt:lpwstr>
  </property>
  <property fmtid="{D5CDD505-2E9C-101B-9397-08002B2CF9AE}" pid="8" name="MSIP_Label_9043f10a-881e-4653-a55e-02ca2cc829dc_ContentBits">
    <vt:lpwstr>0</vt:lpwstr>
  </property>
</Properties>
</file>